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D6" w:rsidRDefault="001328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28D6" w:rsidRDefault="001328D6">
      <w:pPr>
        <w:pStyle w:val="ConsPlusNormal"/>
        <w:jc w:val="both"/>
        <w:outlineLvl w:val="0"/>
      </w:pPr>
    </w:p>
    <w:p w:rsidR="001328D6" w:rsidRDefault="001328D6">
      <w:pPr>
        <w:pStyle w:val="ConsPlusNormal"/>
        <w:outlineLvl w:val="0"/>
      </w:pPr>
      <w:r>
        <w:t>Зарегистрировано в Минюсте России 2 сентября 2014 г. N 33939</w:t>
      </w:r>
    </w:p>
    <w:p w:rsidR="001328D6" w:rsidRDefault="001328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328D6" w:rsidRDefault="001328D6">
      <w:pPr>
        <w:pStyle w:val="ConsPlusTitle"/>
        <w:jc w:val="center"/>
      </w:pPr>
    </w:p>
    <w:p w:rsidR="001328D6" w:rsidRDefault="001328D6">
      <w:pPr>
        <w:pStyle w:val="ConsPlusTitle"/>
        <w:jc w:val="center"/>
      </w:pPr>
      <w:r>
        <w:t>ПРИКАЗ</w:t>
      </w:r>
      <w:bookmarkStart w:id="0" w:name="_GoBack"/>
      <w:bookmarkEnd w:id="0"/>
    </w:p>
    <w:p w:rsidR="001328D6" w:rsidRDefault="001328D6">
      <w:pPr>
        <w:pStyle w:val="ConsPlusTitle"/>
        <w:jc w:val="center"/>
      </w:pPr>
      <w:r>
        <w:t>от 18 августа 2014 г. N 1016</w:t>
      </w:r>
    </w:p>
    <w:p w:rsidR="001328D6" w:rsidRDefault="001328D6">
      <w:pPr>
        <w:pStyle w:val="ConsPlusTitle"/>
        <w:jc w:val="center"/>
      </w:pPr>
    </w:p>
    <w:p w:rsidR="001328D6" w:rsidRDefault="001328D6">
      <w:pPr>
        <w:pStyle w:val="ConsPlusTitle"/>
        <w:jc w:val="center"/>
      </w:pPr>
      <w:r>
        <w:t>ОБ УТВЕРЖДЕНИИ</w:t>
      </w:r>
    </w:p>
    <w:p w:rsidR="001328D6" w:rsidRDefault="001328D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328D6" w:rsidRDefault="001328D6">
      <w:pPr>
        <w:pStyle w:val="ConsPlusTitle"/>
        <w:jc w:val="center"/>
      </w:pPr>
      <w:r>
        <w:t>ВЫСШЕГО ОБРАЗОВАНИЯ ПО НАПРАВЛЕНИЮ ПОДГОТОВКИ 26.06.01</w:t>
      </w:r>
    </w:p>
    <w:p w:rsidR="001328D6" w:rsidRDefault="001328D6">
      <w:pPr>
        <w:pStyle w:val="ConsPlusTitle"/>
        <w:jc w:val="center"/>
      </w:pPr>
      <w:r>
        <w:t>ТЕХНИКА И ТЕХНОЛОГИИ КОРАБЛЕСТРОЕНИЯ И ВОДНОГО</w:t>
      </w:r>
    </w:p>
    <w:p w:rsidR="001328D6" w:rsidRDefault="001328D6">
      <w:pPr>
        <w:pStyle w:val="ConsPlusTitle"/>
        <w:jc w:val="center"/>
      </w:pPr>
      <w:proofErr w:type="gramStart"/>
      <w:r>
        <w:t>ТРАНСПОРТА (УРОВЕНЬ ПОДГОТОВКИ КАДРОВ</w:t>
      </w:r>
      <w:proofErr w:type="gramEnd"/>
    </w:p>
    <w:p w:rsidR="001328D6" w:rsidRDefault="001328D6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1328D6" w:rsidRDefault="001328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28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8D6" w:rsidRDefault="001328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8D6" w:rsidRDefault="001328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30.04.2015 N 464)</w:t>
            </w:r>
          </w:p>
        </w:tc>
      </w:tr>
    </w:tbl>
    <w:p w:rsidR="001328D6" w:rsidRDefault="001328D6">
      <w:pPr>
        <w:pStyle w:val="ConsPlusNormal"/>
        <w:jc w:val="center"/>
      </w:pPr>
    </w:p>
    <w:p w:rsidR="001328D6" w:rsidRDefault="001328D6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26.06.01 Техника и технологии кораблестроения и водного транспорта (уровень подготовки кадров высшей квалификации).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right"/>
      </w:pPr>
      <w:r>
        <w:t>Министр</w:t>
      </w:r>
    </w:p>
    <w:p w:rsidR="001328D6" w:rsidRDefault="001328D6">
      <w:pPr>
        <w:pStyle w:val="ConsPlusNormal"/>
        <w:jc w:val="right"/>
      </w:pPr>
      <w:r>
        <w:t>Д.В.ЛИВАНОВ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right"/>
        <w:outlineLvl w:val="0"/>
      </w:pPr>
      <w:r>
        <w:t>Приложение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right"/>
      </w:pPr>
      <w:r>
        <w:t>Утвержден</w:t>
      </w:r>
    </w:p>
    <w:p w:rsidR="001328D6" w:rsidRDefault="001328D6">
      <w:pPr>
        <w:pStyle w:val="ConsPlusNormal"/>
        <w:jc w:val="right"/>
      </w:pPr>
      <w:r>
        <w:t>приказом Министерства образования</w:t>
      </w:r>
    </w:p>
    <w:p w:rsidR="001328D6" w:rsidRDefault="001328D6">
      <w:pPr>
        <w:pStyle w:val="ConsPlusNormal"/>
        <w:jc w:val="right"/>
      </w:pPr>
      <w:r>
        <w:t>и науки Российской Федерации</w:t>
      </w:r>
    </w:p>
    <w:p w:rsidR="001328D6" w:rsidRDefault="001328D6">
      <w:pPr>
        <w:pStyle w:val="ConsPlusNormal"/>
        <w:jc w:val="right"/>
      </w:pPr>
      <w:r>
        <w:t>от 18 августа 2014 г. N 1016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1328D6" w:rsidRDefault="001328D6">
      <w:pPr>
        <w:pStyle w:val="ConsPlusTitle"/>
        <w:jc w:val="center"/>
      </w:pPr>
      <w:r>
        <w:t>ВЫСШЕГО ОБРАЗОВАНИЯ</w:t>
      </w:r>
    </w:p>
    <w:p w:rsidR="001328D6" w:rsidRDefault="001328D6">
      <w:pPr>
        <w:pStyle w:val="ConsPlusTitle"/>
        <w:jc w:val="center"/>
      </w:pPr>
    </w:p>
    <w:p w:rsidR="001328D6" w:rsidRDefault="001328D6">
      <w:pPr>
        <w:pStyle w:val="ConsPlusTitle"/>
        <w:jc w:val="center"/>
      </w:pPr>
      <w:r>
        <w:t>УРОВЕНЬ ВЫСШЕГО ОБРАЗОВАНИЯ</w:t>
      </w:r>
    </w:p>
    <w:p w:rsidR="001328D6" w:rsidRDefault="001328D6">
      <w:pPr>
        <w:pStyle w:val="ConsPlusTitle"/>
        <w:jc w:val="center"/>
      </w:pPr>
      <w:r>
        <w:t>ПОДГОТОВКА КАДРОВ ВЫСШЕЙ КВАЛИФИКАЦИИ</w:t>
      </w:r>
    </w:p>
    <w:p w:rsidR="001328D6" w:rsidRDefault="001328D6">
      <w:pPr>
        <w:pStyle w:val="ConsPlusTitle"/>
        <w:jc w:val="center"/>
      </w:pPr>
    </w:p>
    <w:p w:rsidR="001328D6" w:rsidRDefault="001328D6">
      <w:pPr>
        <w:pStyle w:val="ConsPlusTitle"/>
        <w:jc w:val="center"/>
      </w:pPr>
      <w:r>
        <w:t>НАПРАВЛЕНИЕ ПОДГОТОВКИ</w:t>
      </w:r>
    </w:p>
    <w:p w:rsidR="001328D6" w:rsidRDefault="001328D6">
      <w:pPr>
        <w:pStyle w:val="ConsPlusTitle"/>
        <w:jc w:val="center"/>
      </w:pPr>
      <w:r>
        <w:t>26.06.01 ТЕХНИКА И ТЕХНОЛОГИИ КОРАБЛЕСТРОЕНИЯ</w:t>
      </w:r>
    </w:p>
    <w:p w:rsidR="001328D6" w:rsidRDefault="001328D6">
      <w:pPr>
        <w:pStyle w:val="ConsPlusTitle"/>
        <w:jc w:val="center"/>
      </w:pPr>
      <w:r>
        <w:t>И ВОДНОГО ТРАНСПОРТА</w:t>
      </w:r>
    </w:p>
    <w:p w:rsidR="001328D6" w:rsidRDefault="001328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28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8D6" w:rsidRDefault="001328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8D6" w:rsidRDefault="001328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30.04.2015 N 464)</w:t>
            </w:r>
          </w:p>
        </w:tc>
      </w:tr>
    </w:tbl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center"/>
        <w:outlineLvl w:val="1"/>
      </w:pPr>
      <w:r>
        <w:t>I. ОБЛАСТЬ ПРИМЕНЕНИЯ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26.06.01 Техника и технологии кораблестроения и водного транспорта (далее соответственно - программа аспирантуры, направление подготовки).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center"/>
        <w:outlineLvl w:val="1"/>
      </w:pPr>
      <w:r>
        <w:t>II. ИСПОЛЬЗУЕМЫЕ СОКРАЩЕНИЯ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УК - универсальные компетенции;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1328D6" w:rsidRDefault="001328D6">
      <w:pPr>
        <w:pStyle w:val="ConsPlusNormal"/>
        <w:spacing w:before="220"/>
        <w:ind w:firstLine="540"/>
        <w:jc w:val="both"/>
      </w:pPr>
      <w:r>
        <w:t>Объем программы аспирантуры составляет 240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аспирантуры: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з.е.;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</w:t>
      </w:r>
      <w:r>
        <w:lastRenderedPageBreak/>
        <w:t>аспирантуры в заочной форме обучения, реализуемый за один учебный год, определяется организацией самостоятельно;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1328D6" w:rsidRDefault="001328D6">
      <w:pPr>
        <w:pStyle w:val="ConsPlusNormal"/>
        <w:jc w:val="center"/>
      </w:pPr>
      <w:r>
        <w:t>ВЫПУСКНИКОВ, ОСВОИВШИХ ПРОГРАММУ АСПИРАНТУРЫ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научно-исследовательскую, образовательную, проектно-конструкторскую, производственно-технологическую, организационно-управленческую, экспертную деятельность в сфере проектирования, строительства, ремонта, модернизации и утилизации кораблей и судов всех типов и назначения;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проектирование, производство и эксплуатацию судовых двигателей, судовых систем и оборудования;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эксплуатацию морских и внутренних водных путей, объектов инфраструктуры водного транспорта и флота;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навигационное и гидрографическое обеспечение судоходства, изучение и освоение Мирового океана в интересах морского транспорта;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обеспечение безопасности и требований международного и национального законодательства в области водного транспорта.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корабли и суда всех типов и назначения;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объекты инфраструктуры морского и внутреннего водного транспорта, океанотехника различного назначения, подводные аппараты, морские платформы и специальные сооружения, автономные и неавтономные технические средства аварийно-поисковых и спасательных работ, средства изучения и освоения Мирового океана;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lastRenderedPageBreak/>
        <w:t>Мировой океан, физические и химические свойства водной среды, поверхностные и глубоководные течения, гравитационное и магнитное поля Земли, навигационное оборудование побережий и водных районов, средства, приборы и оборудование для гидрографических, геофизических и океанографических исследований;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морские и внутренние водные пути;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гидротехнические сооружения;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техника и технология кораблестроения, судостроения и судоремонта;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судовые двигатели, системы и оборудование, средства и методы навигации и судовождения, системы обеспечения безопасности на водном транспорте;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транспортные, транспортно-технологические, логистические системы, методы их проектирования и управления ими, технология, организация и управление перевозками, работой флота и перегрузочными процессами в портах.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научно-исследовательская деятельность в сфере кораблестроения и водного транспорта;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преподавательская деятельность в сфере кораблестроения и водного транспорта.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lastRenderedPageBreak/>
        <w:t>способностью следовать этическим нормам в профессиональной деятельности (УК-5);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(УК-6).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владением необходимой системой знаний в сфере техники и технологии кораблестроения и водного транспорта (ОПК-1);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владением методологией исследований в сфере техники и технологии кораблестроения и водного транспорта (ОПК-2);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владением культурой научного исследования, в том числе с использованием новейших информационно-коммуникационных технологий (ОПК-3);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готовностью к разработке новых методов исследования и их применению в самостоятельной научно-исследовательской деятельности в сфере кораблестроения и водного транспорта (ОПК-4);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готовностью работать в составе коллектива и организовывать его работу по проблемам кораблестроения и водного транспорта, с учетом соблюдения авторских прав творческого коллектива, его членов и организации в целом (ОПК-5);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готовностью к преподавательской деятельности в сфере кораблестроения и водного транспорта (ОПК-6).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1328D6" w:rsidRDefault="001328D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328D6" w:rsidRDefault="001328D6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1328D6" w:rsidRDefault="001328D6">
      <w:pPr>
        <w:pStyle w:val="ConsPlusNormal"/>
        <w:jc w:val="center"/>
      </w:pPr>
    </w:p>
    <w:p w:rsidR="001328D6" w:rsidRDefault="001328D6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6.2. Программа аспирантуры состоит из следующих блоков:</w:t>
      </w:r>
    </w:p>
    <w:p w:rsidR="001328D6" w:rsidRDefault="001328D6">
      <w:pPr>
        <w:pStyle w:val="ConsPlusNormal"/>
        <w:spacing w:before="220"/>
        <w:ind w:firstLine="540"/>
        <w:jc w:val="both"/>
      </w:pPr>
      <w:hyperlink w:anchor="P137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1328D6" w:rsidRDefault="001328D6">
      <w:pPr>
        <w:pStyle w:val="ConsPlusNormal"/>
        <w:spacing w:before="220"/>
        <w:ind w:firstLine="540"/>
        <w:jc w:val="both"/>
      </w:pPr>
      <w:hyperlink w:anchor="P146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1328D6" w:rsidRDefault="001328D6">
      <w:pPr>
        <w:pStyle w:val="ConsPlusNormal"/>
        <w:spacing w:before="220"/>
        <w:ind w:firstLine="540"/>
        <w:jc w:val="both"/>
      </w:pPr>
      <w:hyperlink w:anchor="P149" w:history="1">
        <w:r>
          <w:rPr>
            <w:color w:val="0000FF"/>
          </w:rPr>
          <w:t>Блок 3</w:t>
        </w:r>
      </w:hyperlink>
      <w:r>
        <w:t xml:space="preserve"> "Научные исследования", который в полном объеме относится к вариативной части программы.</w:t>
      </w:r>
    </w:p>
    <w:p w:rsidR="001328D6" w:rsidRDefault="001328D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328D6" w:rsidRDefault="001328D6">
      <w:pPr>
        <w:pStyle w:val="ConsPlusNormal"/>
        <w:spacing w:before="220"/>
        <w:ind w:firstLine="540"/>
        <w:jc w:val="both"/>
      </w:pPr>
      <w:hyperlink w:anchor="P154" w:history="1">
        <w:r>
          <w:rPr>
            <w:color w:val="0000FF"/>
          </w:rPr>
          <w:t>Блок 4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center"/>
        <w:outlineLvl w:val="2"/>
      </w:pPr>
      <w:r>
        <w:t>Структура программы аспирантуры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right"/>
      </w:pPr>
      <w:r>
        <w:t>Таблица</w:t>
      </w:r>
    </w:p>
    <w:p w:rsidR="001328D6" w:rsidRDefault="001328D6">
      <w:pPr>
        <w:pStyle w:val="ConsPlusNormal"/>
        <w:jc w:val="both"/>
      </w:pPr>
    </w:p>
    <w:p w:rsidR="001328D6" w:rsidRDefault="001328D6">
      <w:pPr>
        <w:sectPr w:rsidR="001328D6" w:rsidSect="002F7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42"/>
        <w:gridCol w:w="1301"/>
      </w:tblGrid>
      <w:tr w:rsidR="001328D6">
        <w:tc>
          <w:tcPr>
            <w:tcW w:w="8342" w:type="dxa"/>
          </w:tcPr>
          <w:p w:rsidR="001328D6" w:rsidRDefault="001328D6">
            <w:pPr>
              <w:pStyle w:val="ConsPlusNormal"/>
              <w:jc w:val="center"/>
            </w:pPr>
            <w:r>
              <w:lastRenderedPageBreak/>
              <w:t>Наименование элемента программы</w:t>
            </w:r>
          </w:p>
        </w:tc>
        <w:tc>
          <w:tcPr>
            <w:tcW w:w="1301" w:type="dxa"/>
          </w:tcPr>
          <w:p w:rsidR="001328D6" w:rsidRDefault="001328D6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  <w:jc w:val="both"/>
            </w:pPr>
            <w:bookmarkStart w:id="2" w:name="P137"/>
            <w:bookmarkEnd w:id="2"/>
            <w:r>
              <w:t>Блок 1 "Дисциплины (модули)"</w:t>
            </w:r>
          </w:p>
        </w:tc>
        <w:tc>
          <w:tcPr>
            <w:tcW w:w="1301" w:type="dxa"/>
          </w:tcPr>
          <w:p w:rsidR="001328D6" w:rsidRDefault="001328D6">
            <w:pPr>
              <w:pStyle w:val="ConsPlusNormal"/>
              <w:jc w:val="center"/>
            </w:pPr>
            <w:r>
              <w:t>30</w:t>
            </w:r>
          </w:p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  <w:jc w:val="both"/>
            </w:pPr>
            <w:bookmarkStart w:id="3" w:name="P139"/>
            <w:bookmarkEnd w:id="3"/>
            <w:r>
              <w:t>Базовая часть</w:t>
            </w:r>
          </w:p>
        </w:tc>
        <w:tc>
          <w:tcPr>
            <w:tcW w:w="1301" w:type="dxa"/>
            <w:vMerge w:val="restart"/>
          </w:tcPr>
          <w:p w:rsidR="001328D6" w:rsidRDefault="001328D6">
            <w:pPr>
              <w:pStyle w:val="ConsPlusNormal"/>
              <w:jc w:val="center"/>
            </w:pPr>
            <w:r>
              <w:t>9</w:t>
            </w:r>
          </w:p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301" w:type="dxa"/>
            <w:vMerge/>
          </w:tcPr>
          <w:p w:rsidR="001328D6" w:rsidRDefault="001328D6"/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  <w:jc w:val="both"/>
            </w:pPr>
            <w:bookmarkStart w:id="4" w:name="P142"/>
            <w:bookmarkEnd w:id="4"/>
            <w:r>
              <w:t>Вариативная часть</w:t>
            </w:r>
          </w:p>
          <w:p w:rsidR="001328D6" w:rsidRDefault="001328D6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1328D6" w:rsidRDefault="001328D6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301" w:type="dxa"/>
          </w:tcPr>
          <w:p w:rsidR="001328D6" w:rsidRDefault="001328D6">
            <w:pPr>
              <w:pStyle w:val="ConsPlusNormal"/>
              <w:jc w:val="center"/>
            </w:pPr>
            <w:r>
              <w:t>21</w:t>
            </w:r>
          </w:p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</w:pPr>
            <w:bookmarkStart w:id="5" w:name="P146"/>
            <w:bookmarkEnd w:id="5"/>
            <w:r>
              <w:t>Блок 2 "Практики"</w:t>
            </w:r>
          </w:p>
        </w:tc>
        <w:tc>
          <w:tcPr>
            <w:tcW w:w="1301" w:type="dxa"/>
            <w:vMerge w:val="restart"/>
            <w:tcBorders>
              <w:bottom w:val="nil"/>
            </w:tcBorders>
          </w:tcPr>
          <w:p w:rsidR="001328D6" w:rsidRDefault="001328D6">
            <w:pPr>
              <w:pStyle w:val="ConsPlusNormal"/>
            </w:pPr>
          </w:p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301" w:type="dxa"/>
            <w:vMerge/>
            <w:tcBorders>
              <w:bottom w:val="nil"/>
            </w:tcBorders>
          </w:tcPr>
          <w:p w:rsidR="001328D6" w:rsidRDefault="001328D6"/>
        </w:tc>
      </w:tr>
      <w:tr w:rsidR="001328D6">
        <w:tblPrEx>
          <w:tblBorders>
            <w:insideH w:val="nil"/>
          </w:tblBorders>
        </w:tblPrEx>
        <w:tc>
          <w:tcPr>
            <w:tcW w:w="8342" w:type="dxa"/>
          </w:tcPr>
          <w:p w:rsidR="001328D6" w:rsidRDefault="001328D6">
            <w:pPr>
              <w:pStyle w:val="ConsPlusNormal"/>
            </w:pPr>
            <w:bookmarkStart w:id="6" w:name="P149"/>
            <w:bookmarkEnd w:id="6"/>
            <w:r>
              <w:t>Блок 3 "Научные исследования"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1328D6" w:rsidRDefault="001328D6">
            <w:pPr>
              <w:pStyle w:val="ConsPlusNormal"/>
              <w:jc w:val="center"/>
            </w:pPr>
            <w:r>
              <w:t>201</w:t>
            </w:r>
          </w:p>
        </w:tc>
      </w:tr>
      <w:tr w:rsidR="001328D6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1328D6" w:rsidRDefault="001328D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1328D6" w:rsidRDefault="001328D6">
            <w:pPr>
              <w:pStyle w:val="ConsPlusNormal"/>
            </w:pPr>
          </w:p>
        </w:tc>
      </w:tr>
      <w:tr w:rsidR="001328D6">
        <w:tblPrEx>
          <w:tblBorders>
            <w:insideH w:val="nil"/>
          </w:tblBorders>
        </w:tblPrEx>
        <w:tc>
          <w:tcPr>
            <w:tcW w:w="9643" w:type="dxa"/>
            <w:gridSpan w:val="2"/>
            <w:tcBorders>
              <w:top w:val="nil"/>
            </w:tcBorders>
          </w:tcPr>
          <w:p w:rsidR="001328D6" w:rsidRDefault="001328D6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</w:pPr>
            <w:bookmarkStart w:id="7" w:name="P154"/>
            <w:bookmarkEnd w:id="7"/>
            <w:r>
              <w:t>Блок 4 "Государственная итоговая аттестация"</w:t>
            </w:r>
          </w:p>
        </w:tc>
        <w:tc>
          <w:tcPr>
            <w:tcW w:w="1301" w:type="dxa"/>
            <w:vMerge w:val="restart"/>
          </w:tcPr>
          <w:p w:rsidR="001328D6" w:rsidRDefault="001328D6">
            <w:pPr>
              <w:pStyle w:val="ConsPlusNormal"/>
              <w:jc w:val="center"/>
            </w:pPr>
            <w:r>
              <w:t>9</w:t>
            </w:r>
          </w:p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</w:pPr>
            <w:r>
              <w:t>Базовая часть</w:t>
            </w:r>
          </w:p>
        </w:tc>
        <w:tc>
          <w:tcPr>
            <w:tcW w:w="1301" w:type="dxa"/>
            <w:vMerge/>
          </w:tcPr>
          <w:p w:rsidR="001328D6" w:rsidRDefault="001328D6"/>
        </w:tc>
      </w:tr>
      <w:tr w:rsidR="001328D6">
        <w:tc>
          <w:tcPr>
            <w:tcW w:w="8342" w:type="dxa"/>
          </w:tcPr>
          <w:p w:rsidR="001328D6" w:rsidRDefault="001328D6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1301" w:type="dxa"/>
          </w:tcPr>
          <w:p w:rsidR="001328D6" w:rsidRDefault="001328D6">
            <w:pPr>
              <w:pStyle w:val="ConsPlusNormal"/>
              <w:jc w:val="center"/>
            </w:pPr>
            <w:r>
              <w:t>240</w:t>
            </w:r>
          </w:p>
        </w:tc>
      </w:tr>
    </w:tbl>
    <w:p w:rsidR="001328D6" w:rsidRDefault="001328D6">
      <w:pPr>
        <w:sectPr w:rsidR="001328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</w:t>
      </w:r>
      <w:hyperlink w:anchor="P139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Набор дисциплин (модулей) </w:t>
      </w:r>
      <w:hyperlink w:anchor="P142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 xml:space="preserve">6.4. В </w:t>
      </w:r>
      <w:hyperlink w:anchor="P146" w:history="1">
        <w:r>
          <w:rPr>
            <w:color w:val="0000FF"/>
          </w:rPr>
          <w:t>Блок 2</w:t>
        </w:r>
      </w:hyperlink>
      <w:r>
        <w:t xml:space="preserve">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Педагогическая практика является обязательной.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Способы проведения практики: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стационарная;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выездная.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1328D6" w:rsidRDefault="001328D6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</w:t>
      </w:r>
      <w:r>
        <w:lastRenderedPageBreak/>
        <w:t>N 32, ст. 4496).</w:t>
      </w:r>
    </w:p>
    <w:p w:rsidR="001328D6" w:rsidRDefault="001328D6">
      <w:pPr>
        <w:pStyle w:val="ConsPlusNormal"/>
        <w:ind w:firstLine="540"/>
        <w:jc w:val="both"/>
      </w:pPr>
    </w:p>
    <w:p w:rsidR="001328D6" w:rsidRDefault="001328D6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1328D6" w:rsidRDefault="001328D6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1328D6" w:rsidRDefault="001328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1328D6" w:rsidRDefault="001328D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328D6" w:rsidRDefault="001328D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4173; N 31, ст. 4196; N 49, ст. 6409; 2011, N 23, ст. 3263; N 31, ст. 4701; 2013, N 14, ст. 1651; N 30, ст. 4038; N 51, ст. 6683).</w:t>
      </w:r>
      <w:proofErr w:type="gramEnd"/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lastRenderedPageBreak/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1328D6" w:rsidRDefault="001328D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1328D6" w:rsidRDefault="001328D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lastRenderedPageBreak/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1328D6" w:rsidRDefault="001328D6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аспирантуры.</w:t>
      </w:r>
    </w:p>
    <w:p w:rsidR="001328D6" w:rsidRDefault="001328D6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jc w:val="both"/>
      </w:pPr>
    </w:p>
    <w:p w:rsidR="001328D6" w:rsidRDefault="001328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2D7" w:rsidRDefault="00F252D7"/>
    <w:sectPr w:rsidR="00F252D7" w:rsidSect="00BF46E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6"/>
    <w:rsid w:val="001328D6"/>
    <w:rsid w:val="00F2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8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8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8C6D2406322BC0DD568E0EB2BBBC5219AB56710D31B230CAF58CBB5E930C679E2E7E171D6FF68DF0356476D77A4A0A1F8B3E0E32ECF36ZC5FL" TargetMode="External"/><Relationship Id="rId13" Type="http://schemas.openxmlformats.org/officeDocument/2006/relationships/hyperlink" Target="consultantplus://offline/ref=07B8C6D2406322BC0DD568E0EB2BBBC52392BD6013D31B230CAF58CBB5E930C679E2E7E171D6F96ED80356476D77A4A0A1F8B3E0E32ECF36ZC5FL" TargetMode="External"/><Relationship Id="rId18" Type="http://schemas.openxmlformats.org/officeDocument/2006/relationships/hyperlink" Target="consultantplus://offline/ref=07B8C6D2406322BC0DD568E0EB2BBBC5219AB56710D31B230CAF58CBB5E930C679E2E7E171D6FF6BD10356476D77A4A0A1F8B3E0E32ECF36ZC5FL" TargetMode="External"/><Relationship Id="rId26" Type="http://schemas.openxmlformats.org/officeDocument/2006/relationships/hyperlink" Target="consultantplus://offline/ref=07B8C6D2406322BC0DD568E0EB2BBBC52197B76216D31B230CAF58CBB5E930C679E2E7E171D6F96CDA0356476D77A4A0A1F8B3E0E32ECF36ZC5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B8C6D2406322BC0DD568E0EB2BBBC52193B76717D51B230CAF58CBB5E930C679E2E7E171D6F96CD80356476D77A4A0A1F8B3E0E32ECF36ZC5FL" TargetMode="External"/><Relationship Id="rId7" Type="http://schemas.openxmlformats.org/officeDocument/2006/relationships/hyperlink" Target="consultantplus://offline/ref=07B8C6D2406322BC0DD568E0EB2BBBC5229AB26517DB1B230CAF58CBB5E930C679E2E7E171D6F969DA0356476D77A4A0A1F8B3E0E32ECF36ZC5FL" TargetMode="External"/><Relationship Id="rId12" Type="http://schemas.openxmlformats.org/officeDocument/2006/relationships/hyperlink" Target="consultantplus://offline/ref=07B8C6D2406322BC0DD568E0EB2BBBC5219AB56710D31B230CAF58CBB5E930C679E2E7E171D6FF6BD80356476D77A4A0A1F8B3E0E32ECF36ZC5FL" TargetMode="External"/><Relationship Id="rId17" Type="http://schemas.openxmlformats.org/officeDocument/2006/relationships/hyperlink" Target="consultantplus://offline/ref=07B8C6D2406322BC0DD568E0EB2BBBC5219AB56710D31B230CAF58CBB5E930C679E2E7E171D6FF6BDC0356476D77A4A0A1F8B3E0E32ECF36ZC5FL" TargetMode="External"/><Relationship Id="rId25" Type="http://schemas.openxmlformats.org/officeDocument/2006/relationships/hyperlink" Target="consultantplus://offline/ref=07B8C6D2406322BC0DD568E0EB2BBBC5219AB56710D31B230CAF58CBB5E930C679E2E7E171D6FF6AD90356476D77A4A0A1F8B3E0E32ECF36ZC5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B8C6D2406322BC0DD568E0EB2BBBC52392BD6013D31B230CAF58CBB5E930C679E2E7E171D6F96BD00356476D77A4A0A1F8B3E0E32ECF36ZC5FL" TargetMode="External"/><Relationship Id="rId20" Type="http://schemas.openxmlformats.org/officeDocument/2006/relationships/hyperlink" Target="consultantplus://offline/ref=07B8C6D2406322BC0DD568E0EB2BBBC5229AB36A13DA1B230CAF58CBB5E930C66BE2BFED73D3E76DDA1600162BZ25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B8C6D2406322BC0DD568E0EB2BBBC5219AB56710D31B230CAF58CBB5E930C679E2E7E171D6FF68DF0356476D77A4A0A1F8B3E0E32ECF36ZC5FL" TargetMode="External"/><Relationship Id="rId11" Type="http://schemas.openxmlformats.org/officeDocument/2006/relationships/hyperlink" Target="consultantplus://offline/ref=07B8C6D2406322BC0DD568E0EB2BBBC5219AB56710D31B230CAF58CBB5E930C679E2E7E171D6FF68D10356476D77A4A0A1F8B3E0E32ECF36ZC5FL" TargetMode="External"/><Relationship Id="rId24" Type="http://schemas.openxmlformats.org/officeDocument/2006/relationships/hyperlink" Target="consultantplus://offline/ref=07B8C6D2406322BC0DD568E0EB2BBBC5219AB56710D31B230CAF58CBB5E930C679E2E7E171D6FF6AD80356476D77A4A0A1F8B3E0E32ECF36ZC5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7B8C6D2406322BC0DD568E0EB2BBBC52392BD6013D31B230CAF58CBB5E930C679E2E7E171D6F96BDD0356476D77A4A0A1F8B3E0E32ECF36ZC5FL" TargetMode="External"/><Relationship Id="rId23" Type="http://schemas.openxmlformats.org/officeDocument/2006/relationships/hyperlink" Target="consultantplus://offline/ref=07B8C6D2406322BC0DD568E0EB2BBBC52390B06410D11B230CAF58CBB5E930C679E2E7E171D6F96CDE0356476D77A4A0A1F8B3E0E32ECF36ZC5F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7B8C6D2406322BC0DD568E0EB2BBBC5229BB36513D01B230CAF58CBB5E930C679E2E7E171D6FB6DD80356476D77A4A0A1F8B3E0E32ECF36ZC5FL" TargetMode="External"/><Relationship Id="rId19" Type="http://schemas.openxmlformats.org/officeDocument/2006/relationships/hyperlink" Target="consultantplus://offline/ref=07B8C6D2406322BC0DD568E0EB2BBBC52391BC601FD51B230CAF58CBB5E930C66BE2BFED73D3E76DDA1600162BZ25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B8C6D2406322BC0DD568E0EB2BBBC5229BB16416DB1B230CAF58CBB5E930C679E2E7E171D6F96CD10356476D77A4A0A1F8B3E0E32ECF36ZC5FL" TargetMode="External"/><Relationship Id="rId14" Type="http://schemas.openxmlformats.org/officeDocument/2006/relationships/hyperlink" Target="consultantplus://offline/ref=07B8C6D2406322BC0DD568E0EB2BBBC5219AB56710D31B230CAF58CBB5E930C679E2E7E171D6FF6BD90356476D77A4A0A1F8B3E0E32ECF36ZC5FL" TargetMode="External"/><Relationship Id="rId22" Type="http://schemas.openxmlformats.org/officeDocument/2006/relationships/hyperlink" Target="consultantplus://offline/ref=07B8C6D2406322BC0DD568E0EB2BBBC52392BD6013D31B230CAF58CBB5E930C679E2E7E171D6F968DA0356476D77A4A0A1F8B3E0E32ECF36ZC5F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Анискевич Юлия Владимировна</dc:creator>
  <cp:lastModifiedBy>Анискевич Юлия Владимировна</cp:lastModifiedBy>
  <cp:revision>1</cp:revision>
  <dcterms:created xsi:type="dcterms:W3CDTF">2020-02-25T11:57:00Z</dcterms:created>
  <dcterms:modified xsi:type="dcterms:W3CDTF">2020-02-25T11:58:00Z</dcterms:modified>
</cp:coreProperties>
</file>